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8F1" w:rsidRDefault="00E73ABF">
      <w:pPr>
        <w:rPr>
          <w:rFonts w:ascii="Arial" w:eastAsia="Times New Roman" w:hAnsi="Arial" w:cs="Arial"/>
          <w:b/>
          <w:color w:val="000000"/>
          <w:sz w:val="40"/>
          <w:szCs w:val="40"/>
          <w:bdr w:val="none" w:sz="0" w:space="0" w:color="auto" w:frame="1"/>
          <w:lang w:eastAsia="es-MX"/>
        </w:rPr>
      </w:pPr>
      <w:r w:rsidRPr="00E73ABF">
        <w:rPr>
          <w:rFonts w:ascii="Arial" w:eastAsia="Times New Roman" w:hAnsi="Arial" w:cs="Arial"/>
          <w:b/>
          <w:color w:val="000000"/>
          <w:sz w:val="40"/>
          <w:szCs w:val="40"/>
          <w:bdr w:val="none" w:sz="0" w:space="0" w:color="auto" w:frame="1"/>
          <w:lang w:eastAsia="es-MX"/>
        </w:rPr>
        <w:t>965-6204</w:t>
      </w:r>
      <w:r w:rsidR="00793358">
        <w:rPr>
          <w:rFonts w:ascii="Arial" w:eastAsia="Times New Roman" w:hAnsi="Arial" w:cs="Arial"/>
          <w:b/>
          <w:color w:val="000000"/>
          <w:sz w:val="40"/>
          <w:szCs w:val="40"/>
          <w:bdr w:val="none" w:sz="0" w:space="0" w:color="auto" w:frame="1"/>
          <w:lang w:eastAsia="es-MX"/>
        </w:rPr>
        <w:t xml:space="preserve"> </w:t>
      </w:r>
    </w:p>
    <w:p w:rsidR="001A5144" w:rsidRPr="00E73ABF" w:rsidRDefault="001A5144">
      <w:pPr>
        <w:rPr>
          <w:b/>
          <w:sz w:val="40"/>
          <w:szCs w:val="40"/>
        </w:rPr>
      </w:pPr>
      <w:r w:rsidRPr="001A5144">
        <w:rPr>
          <w:b/>
          <w:noProof/>
          <w:sz w:val="40"/>
          <w:szCs w:val="40"/>
          <w:lang w:eastAsia="es-MX"/>
        </w:rPr>
        <w:drawing>
          <wp:inline distT="0" distB="0" distL="0" distR="0">
            <wp:extent cx="2385060" cy="2385060"/>
            <wp:effectExtent l="0" t="0" r="0" b="0"/>
            <wp:docPr id="1" name="Imagen 1" descr="D:\AYUDAS VISUALES\JAMECO\ame-965-6204_it_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YUDAS VISUALES\JAMECO\ame-965-6204_it_m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5D3" w:rsidRPr="009425D3" w:rsidRDefault="009425D3" w:rsidP="009425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MX"/>
        </w:rPr>
        <w:t xml:space="preserve">Herramienta de </w:t>
      </w:r>
      <w:r w:rsidRPr="009425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MX"/>
        </w:rPr>
        <w:t xml:space="preserve">Plástico Hexagonal y Plano para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MX"/>
        </w:rPr>
        <w:t xml:space="preserve">Ajustar </w:t>
      </w:r>
      <w:r w:rsidRPr="009425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MX"/>
        </w:rPr>
        <w:t>Núcleos de Ferrita en Inductores.</w:t>
      </w:r>
    </w:p>
    <w:p w:rsidR="009425D3" w:rsidRPr="009425D3" w:rsidRDefault="009425D3" w:rsidP="009425D3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 w:rsidRPr="009425D3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Tipo de Herramienta: Ajustador</w:t>
      </w:r>
    </w:p>
    <w:p w:rsidR="009425D3" w:rsidRPr="009425D3" w:rsidRDefault="009425D3" w:rsidP="009425D3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 w:rsidRPr="009425D3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Extremos: Punta Plana y Hexagonal.</w:t>
      </w:r>
    </w:p>
    <w:p w:rsidR="009425D3" w:rsidRPr="009425D3" w:rsidRDefault="009425D3" w:rsidP="009425D3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 w:rsidRPr="009425D3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Material: Plástico.</w:t>
      </w:r>
    </w:p>
    <w:p w:rsidR="009425D3" w:rsidRPr="009425D3" w:rsidRDefault="009425D3" w:rsidP="009425D3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 w:rsidRPr="009425D3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Uso: Ajuste correcto en </w:t>
      </w:r>
      <w:r w:rsidR="009174A3" w:rsidRPr="009425D3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Núcleos</w:t>
      </w:r>
      <w:r w:rsidRPr="009425D3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 Férricos.</w:t>
      </w:r>
    </w:p>
    <w:p w:rsidR="009425D3" w:rsidRPr="009425D3" w:rsidRDefault="009425D3" w:rsidP="009425D3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 w:rsidRPr="009425D3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Dispositivo Antimagnético: Si.</w:t>
      </w:r>
    </w:p>
    <w:p w:rsidR="001A5144" w:rsidRDefault="001A5144" w:rsidP="00E73AB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</w:pPr>
    </w:p>
    <w:p w:rsidR="001A5144" w:rsidRDefault="001A5144" w:rsidP="00E73AB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</w:pPr>
      <w:r w:rsidRPr="001A514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>
            <wp:extent cx="1010138" cy="838200"/>
            <wp:effectExtent l="0" t="0" r="0" b="0"/>
            <wp:docPr id="2" name="Imagen 2" descr="D:\AYUDAS VISUALES\JAMECO\ame-965-6204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YUDAS VISUALES\JAMECO\ame-965-6204_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745" cy="86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  <w:t xml:space="preserve">      </w:t>
      </w:r>
      <w:r w:rsidRPr="001A514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>
            <wp:extent cx="929640" cy="840632"/>
            <wp:effectExtent l="0" t="0" r="3810" b="0"/>
            <wp:docPr id="3" name="Imagen 3" descr="D:\AYUDAS VISUALES\JAMECO\ame-965-6204_sn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YUDAS VISUALES\JAMECO\ame-965-6204_sn_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576" cy="86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5144" w:rsidRDefault="001A5144" w:rsidP="00E73AB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MX"/>
        </w:rPr>
      </w:pPr>
    </w:p>
    <w:p w:rsidR="00793358" w:rsidRDefault="00793358" w:rsidP="009425D3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:rsidR="009174A3" w:rsidRDefault="00793358" w:rsidP="00793358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Notas: La herramienta hexagonal de plástico de 0.1 </w:t>
      </w:r>
      <w:proofErr w:type="spellStart"/>
      <w:r>
        <w:rPr>
          <w:color w:val="000000"/>
          <w:sz w:val="27"/>
          <w:szCs w:val="27"/>
        </w:rPr>
        <w:t>pulg</w:t>
      </w:r>
      <w:proofErr w:type="spellEnd"/>
      <w:r>
        <w:rPr>
          <w:color w:val="000000"/>
          <w:sz w:val="27"/>
          <w:szCs w:val="27"/>
        </w:rPr>
        <w:t>.</w:t>
      </w:r>
    </w:p>
    <w:p w:rsidR="00793358" w:rsidRDefault="00793358" w:rsidP="00793358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Para afinar las bobinas de entrada de los amplificadores TUBE.</w:t>
      </w:r>
    </w:p>
    <w:p w:rsidR="00793358" w:rsidRDefault="00793358" w:rsidP="00793358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 para usar con amplificadores de estado sólido.</w:t>
      </w:r>
    </w:p>
    <w:p w:rsidR="00793358" w:rsidRDefault="00793358" w:rsidP="00793358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Las herramientas de ajuste de la bobina del amplificador de tubo </w:t>
      </w:r>
      <w:proofErr w:type="spellStart"/>
      <w:r>
        <w:rPr>
          <w:color w:val="000000"/>
          <w:sz w:val="27"/>
          <w:szCs w:val="27"/>
        </w:rPr>
        <w:t>Ameritron</w:t>
      </w:r>
      <w:proofErr w:type="spellEnd"/>
      <w:r>
        <w:rPr>
          <w:color w:val="000000"/>
          <w:sz w:val="27"/>
          <w:szCs w:val="27"/>
        </w:rPr>
        <w:t xml:space="preserve"> son la herramienta exacta requerida para sintonizar las bobinas de entrada de su amplificador.</w:t>
      </w:r>
    </w:p>
    <w:p w:rsidR="00793358" w:rsidRDefault="00793358" w:rsidP="009425D3">
      <w:pPr>
        <w:pStyle w:val="NormalWeb"/>
        <w:spacing w:before="0" w:beforeAutospacing="0" w:after="0" w:afterAutospacing="0"/>
      </w:pPr>
      <w:r>
        <w:rPr>
          <w:color w:val="000000"/>
          <w:sz w:val="27"/>
          <w:szCs w:val="27"/>
        </w:rPr>
        <w:t xml:space="preserve">Son herramientas de alineación muy útiles (como las antiguas herramientas de alineación de TV) para cualquier bobina con un conector hexagonal de 0.1 </w:t>
      </w:r>
      <w:proofErr w:type="spellStart"/>
      <w:r>
        <w:rPr>
          <w:color w:val="000000"/>
          <w:sz w:val="27"/>
          <w:szCs w:val="27"/>
        </w:rPr>
        <w:t>pulg</w:t>
      </w:r>
      <w:proofErr w:type="spellEnd"/>
      <w:r>
        <w:rPr>
          <w:color w:val="000000"/>
          <w:sz w:val="27"/>
          <w:szCs w:val="27"/>
        </w:rPr>
        <w:t>.</w:t>
      </w:r>
      <w:r w:rsidR="009425D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Estas herramientas están hechas de plástico no inductivo, por lo que la inserción de la herramienta no afectará la inductancia de la bala.</w:t>
      </w:r>
    </w:p>
    <w:sectPr w:rsidR="007933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061AB"/>
    <w:multiLevelType w:val="multilevel"/>
    <w:tmpl w:val="6728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ABF"/>
    <w:rsid w:val="0007658C"/>
    <w:rsid w:val="001A5144"/>
    <w:rsid w:val="003B68F1"/>
    <w:rsid w:val="005A6F27"/>
    <w:rsid w:val="00793358"/>
    <w:rsid w:val="007E6B20"/>
    <w:rsid w:val="008A7B08"/>
    <w:rsid w:val="009174A3"/>
    <w:rsid w:val="009425D3"/>
    <w:rsid w:val="00A910A9"/>
    <w:rsid w:val="00B954D9"/>
    <w:rsid w:val="00E7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B7C72-487A-4E83-8315-4682FBFE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overview-label">
    <w:name w:val="overview-label"/>
    <w:basedOn w:val="Fuentedeprrafopredeter"/>
    <w:rsid w:val="00E73ABF"/>
  </w:style>
  <w:style w:type="character" w:styleId="Hipervnculo">
    <w:name w:val="Hyperlink"/>
    <w:basedOn w:val="Fuentedeprrafopredeter"/>
    <w:uiPriority w:val="99"/>
    <w:semiHidden/>
    <w:unhideWhenUsed/>
    <w:rsid w:val="00E73ABF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E73ABF"/>
    <w:rPr>
      <w:i/>
      <w:iCs/>
    </w:rPr>
  </w:style>
  <w:style w:type="character" w:styleId="Textoennegrita">
    <w:name w:val="Strong"/>
    <w:basedOn w:val="Fuentedeprrafopredeter"/>
    <w:uiPriority w:val="22"/>
    <w:qFormat/>
    <w:rsid w:val="00E73ABF"/>
    <w:rPr>
      <w:b/>
      <w:bCs/>
    </w:rPr>
  </w:style>
  <w:style w:type="paragraph" w:customStyle="1" w:styleId="overview-description">
    <w:name w:val="overview-description"/>
    <w:basedOn w:val="Normal"/>
    <w:rsid w:val="00E7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79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e-ec1-2364</dc:creator>
  <cp:keywords/>
  <dc:description/>
  <cp:lastModifiedBy>e-ec1-2364</cp:lastModifiedBy>
  <cp:revision>7</cp:revision>
  <dcterms:created xsi:type="dcterms:W3CDTF">2019-06-21T19:29:00Z</dcterms:created>
  <dcterms:modified xsi:type="dcterms:W3CDTF">2019-06-21T19:35:00Z</dcterms:modified>
</cp:coreProperties>
</file>